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line="417" w:lineRule="exact"/>
        <w:ind w:left="41"/>
        <w:rPr>
          <w:rFonts w:ascii="Times New Roman" w:hAnsi="Times New Roman" w:eastAsia="Times New Roman" w:cs="Times New Roman"/>
          <w:sz w:val="31"/>
          <w:szCs w:val="31"/>
        </w:rPr>
      </w:pPr>
      <w:r>
        <w:rPr>
          <w:rFonts w:ascii="黑体" w:hAnsi="黑体" w:eastAsia="黑体" w:cs="黑体"/>
          <w:spacing w:val="-15"/>
          <w:position w:val="1"/>
          <w:sz w:val="31"/>
          <w:szCs w:val="31"/>
        </w:rPr>
        <w:t>附</w:t>
      </w:r>
      <w:r>
        <w:rPr>
          <w:rFonts w:ascii="黑体" w:hAnsi="黑体" w:eastAsia="黑体" w:cs="黑体"/>
          <w:spacing w:val="-12"/>
          <w:position w:val="1"/>
          <w:sz w:val="31"/>
          <w:szCs w:val="31"/>
        </w:rPr>
        <w:t xml:space="preserve">件 </w:t>
      </w:r>
      <w:r>
        <w:rPr>
          <w:rFonts w:ascii="Times New Roman" w:hAnsi="Times New Roman" w:eastAsia="Times New Roman" w:cs="Times New Roman"/>
          <w:spacing w:val="-12"/>
          <w:position w:val="1"/>
          <w:sz w:val="31"/>
          <w:szCs w:val="31"/>
        </w:rPr>
        <w:t>1</w:t>
      </w:r>
    </w:p>
    <w:p>
      <w:pPr>
        <w:spacing w:before="184" w:line="187" w:lineRule="auto"/>
        <w:ind w:left="1193"/>
        <w:rPr>
          <w:rFonts w:ascii="Times New Roman" w:hAnsi="Times New Roman" w:eastAsia="Times New Roman" w:cs="Times New Roman"/>
          <w:spacing w:val="20"/>
          <w:sz w:val="43"/>
          <w:szCs w:val="43"/>
        </w:rPr>
      </w:pPr>
    </w:p>
    <w:p>
      <w:pPr>
        <w:spacing w:before="184" w:line="211" w:lineRule="auto"/>
        <w:ind w:left="753"/>
        <w:jc w:val="center"/>
        <w:rPr>
          <w:rFonts w:hint="eastAsia" w:ascii="微软雅黑" w:hAnsi="微软雅黑" w:eastAsia="微软雅黑" w:cs="微软雅黑"/>
          <w:spacing w:val="14"/>
          <w:sz w:val="43"/>
          <w:szCs w:val="43"/>
        </w:rPr>
      </w:pPr>
      <w:r>
        <w:rPr>
          <w:rFonts w:ascii="微软雅黑" w:hAnsi="微软雅黑" w:eastAsia="微软雅黑" w:cs="微软雅黑"/>
          <w:spacing w:val="14"/>
          <w:sz w:val="43"/>
          <w:szCs w:val="43"/>
        </w:rPr>
        <w:t>“十佳书香校园”等</w:t>
      </w:r>
      <w:r>
        <w:rPr>
          <w:rFonts w:hint="eastAsia" w:ascii="微软雅黑" w:hAnsi="微软雅黑" w:eastAsia="微软雅黑" w:cs="微软雅黑"/>
          <w:spacing w:val="14"/>
          <w:sz w:val="43"/>
          <w:szCs w:val="43"/>
        </w:rPr>
        <w:t>推荐条件</w:t>
      </w:r>
    </w:p>
    <w:p>
      <w:pPr>
        <w:spacing w:before="184" w:line="211" w:lineRule="auto"/>
        <w:ind w:left="753"/>
        <w:jc w:val="center"/>
        <w:rPr>
          <w:rFonts w:hint="eastAsia" w:ascii="微软雅黑" w:hAnsi="微软雅黑" w:eastAsia="微软雅黑" w:cs="微软雅黑"/>
          <w:spacing w:val="14"/>
          <w:sz w:val="43"/>
          <w:szCs w:val="43"/>
        </w:rPr>
      </w:pPr>
    </w:p>
    <w:p>
      <w:pPr>
        <w:widowControl w:val="0"/>
        <w:kinsoku/>
        <w:autoSpaceDE/>
        <w:autoSpaceDN/>
        <w:adjustRightInd/>
        <w:spacing w:line="560" w:lineRule="exact"/>
        <w:ind w:firstLine="640" w:firstLineChars="200"/>
        <w:jc w:val="both"/>
        <w:textAlignment w:val="auto"/>
        <w:rPr>
          <w:rFonts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为更好发挥校园阅读的典型引领示范作用， 省组委会将面 向全省各地各校征集评选“十佳书香校园”“十佳书香班级”“十 佳校园阅读推广人”和“十佳优秀阅读推广案例”。</w:t>
      </w:r>
    </w:p>
    <w:p>
      <w:pPr>
        <w:widowControl w:val="0"/>
        <w:kinsoku/>
        <w:autoSpaceDE/>
        <w:autoSpaceDN/>
        <w:adjustRightInd/>
        <w:spacing w:line="560" w:lineRule="exact"/>
        <w:ind w:left="638" w:leftChars="304"/>
        <w:jc w:val="both"/>
        <w:textAlignment w:val="auto"/>
        <w:rPr>
          <w:rFonts w:ascii="楷体_GB2312" w:hAnsi="仿宋" w:eastAsia="楷体_GB2312" w:cs="Times New Roman"/>
          <w:b/>
          <w:snapToGrid/>
          <w:kern w:val="2"/>
          <w:sz w:val="32"/>
          <w:szCs w:val="32"/>
        </w:rPr>
      </w:pPr>
      <w:r>
        <w:rPr>
          <w:rFonts w:hint="eastAsia" w:ascii="楷体_GB2312" w:hAnsi="仿宋" w:eastAsia="楷体_GB2312" w:cs="Times New Roman"/>
          <w:b/>
          <w:snapToGrid/>
          <w:kern w:val="2"/>
          <w:sz w:val="32"/>
          <w:szCs w:val="32"/>
        </w:rPr>
        <w:t>(一) “十佳书香校园”推荐条件（申报单位：图书馆）</w:t>
      </w:r>
    </w:p>
    <w:p>
      <w:pPr>
        <w:widowControl w:val="0"/>
        <w:kinsoku/>
        <w:autoSpaceDE/>
        <w:autoSpaceDN/>
        <w:adjustRightInd/>
        <w:spacing w:line="560" w:lineRule="exact"/>
        <w:ind w:firstLine="640" w:firstLineChars="200"/>
        <w:jc w:val="both"/>
        <w:textAlignment w:val="auto"/>
        <w:rPr>
          <w:rFonts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1.有良好的读书环境。如学校设有专门的图书馆、图书室、 阅览室并常态化运行，学校藏书人均拥有量达到规定标准等。课后服务包含丰富的阅读项目。校园内有读书读报橱窗或张贴 有读书相关标语，具备浓厚的读书氛围等。</w:t>
      </w:r>
    </w:p>
    <w:p>
      <w:pPr>
        <w:widowControl w:val="0"/>
        <w:kinsoku/>
        <w:autoSpaceDE/>
        <w:autoSpaceDN/>
        <w:adjustRightInd/>
        <w:spacing w:line="560" w:lineRule="exact"/>
        <w:ind w:firstLine="640" w:firstLineChars="200"/>
        <w:jc w:val="both"/>
        <w:textAlignment w:val="auto"/>
        <w:rPr>
          <w:rFonts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2.有健全的机制体制。如学校将“书香校园”建设纳入校园文化建设的重要内容，制定有专门的工作方案，成立有专门的读书活动组织等。</w:t>
      </w:r>
    </w:p>
    <w:p>
      <w:pPr>
        <w:widowControl w:val="0"/>
        <w:kinsoku/>
        <w:autoSpaceDE/>
        <w:autoSpaceDN/>
        <w:adjustRightInd/>
        <w:spacing w:line="560" w:lineRule="exact"/>
        <w:ind w:firstLine="640" w:firstLineChars="200"/>
        <w:jc w:val="both"/>
        <w:textAlignment w:val="auto"/>
        <w:rPr>
          <w:rFonts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3.有丰富的读书活动。如学校利用各种形式开展“读书征 文”“读书演讲”“亲子阅读”“整本书阅读”等活动，探索与实践有效的阅读推广手段和阅读评价方式，形成爱读书、读好书、会读书的良好氛围。</w:t>
      </w:r>
    </w:p>
    <w:p>
      <w:pPr>
        <w:widowControl w:val="0"/>
        <w:kinsoku/>
        <w:autoSpaceDE/>
        <w:autoSpaceDN/>
        <w:adjustRightInd/>
        <w:spacing w:line="560" w:lineRule="exact"/>
        <w:ind w:firstLine="640" w:firstLineChars="200"/>
        <w:jc w:val="both"/>
        <w:textAlignment w:val="auto"/>
        <w:rPr>
          <w:rFonts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4.有显著的阅读成效。如学校师生具备良好的阅读习惯， 具备较高的阅读素养，开发阅读校本课程，形成阅读推广品牌， 产生较好的社会影响。</w:t>
      </w:r>
    </w:p>
    <w:p>
      <w:pPr>
        <w:widowControl w:val="0"/>
        <w:kinsoku/>
        <w:autoSpaceDE/>
        <w:autoSpaceDN/>
        <w:adjustRightInd/>
        <w:spacing w:line="560" w:lineRule="exact"/>
        <w:ind w:firstLine="643" w:firstLineChars="200"/>
        <w:jc w:val="both"/>
        <w:textAlignment w:val="auto"/>
        <w:rPr>
          <w:rFonts w:ascii="楷体_GB2312" w:hAnsi="仿宋" w:eastAsia="楷体_GB2312" w:cs="Times New Roman"/>
          <w:b/>
          <w:snapToGrid/>
          <w:kern w:val="2"/>
          <w:sz w:val="32"/>
          <w:szCs w:val="32"/>
        </w:rPr>
      </w:pPr>
      <w:r>
        <w:rPr>
          <w:rFonts w:hint="eastAsia" w:ascii="楷体_GB2312" w:hAnsi="仿宋" w:eastAsia="楷体_GB2312" w:cs="Times New Roman"/>
          <w:b/>
          <w:snapToGrid/>
          <w:kern w:val="2"/>
          <w:sz w:val="32"/>
          <w:szCs w:val="32"/>
        </w:rPr>
        <w:t>(二) “十佳书香班级”推荐条件（申报单位：各二级学院）</w:t>
      </w:r>
    </w:p>
    <w:p>
      <w:pPr>
        <w:widowControl w:val="0"/>
        <w:kinsoku/>
        <w:autoSpaceDE/>
        <w:autoSpaceDN/>
        <w:adjustRightInd/>
        <w:spacing w:line="560" w:lineRule="exact"/>
        <w:ind w:firstLine="640" w:firstLineChars="200"/>
        <w:jc w:val="both"/>
        <w:textAlignment w:val="auto"/>
        <w:rPr>
          <w:rFonts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1.有良好的读书环境。如班级设有图书角、图书廊，墙上张贴有读书相关标语，定期出读书主题黑板报等，营造良好的 读书氛围。</w:t>
      </w:r>
    </w:p>
    <w:p>
      <w:pPr>
        <w:widowControl w:val="0"/>
        <w:kinsoku/>
        <w:autoSpaceDE/>
        <w:autoSpaceDN/>
        <w:adjustRightInd/>
        <w:spacing w:line="560" w:lineRule="exact"/>
        <w:ind w:firstLine="640" w:firstLineChars="200"/>
        <w:jc w:val="both"/>
        <w:textAlignment w:val="auto"/>
        <w:rPr>
          <w:rFonts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2.有具体的读书计划。如成立班级读书活动管理小组，制定读书管理制度，每学期班级及个人制定有具体可行的读书计 划。包括阅读时间、阅读书目、阅读方式等。</w:t>
      </w:r>
    </w:p>
    <w:p>
      <w:pPr>
        <w:widowControl w:val="0"/>
        <w:kinsoku/>
        <w:autoSpaceDE/>
        <w:autoSpaceDN/>
        <w:adjustRightInd/>
        <w:spacing w:line="560" w:lineRule="exact"/>
        <w:ind w:firstLine="640" w:firstLineChars="200"/>
        <w:jc w:val="both"/>
        <w:textAlignment w:val="auto"/>
        <w:rPr>
          <w:rFonts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3.有丰富的读书活动。如定期开展读书交流活动，利用主 题班会、语文课、阅读课等开展读书演讲、读书分享、读书征文等。</w:t>
      </w:r>
    </w:p>
    <w:p>
      <w:pPr>
        <w:widowControl w:val="0"/>
        <w:kinsoku/>
        <w:autoSpaceDE/>
        <w:autoSpaceDN/>
        <w:adjustRightInd/>
        <w:spacing w:line="560" w:lineRule="exact"/>
        <w:ind w:firstLine="640" w:firstLineChars="200"/>
        <w:jc w:val="both"/>
        <w:textAlignment w:val="auto"/>
        <w:rPr>
          <w:rFonts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4.有显著的阅读成效。如班集体成员积极参加校内及社会 上的各类读书活动、公益活动、文明创建活动等，阅读量及阅读效果较好。</w:t>
      </w:r>
    </w:p>
    <w:p>
      <w:pPr>
        <w:widowControl w:val="0"/>
        <w:kinsoku/>
        <w:autoSpaceDE/>
        <w:autoSpaceDN/>
        <w:adjustRightInd/>
        <w:spacing w:line="560" w:lineRule="exact"/>
        <w:ind w:firstLine="643" w:firstLineChars="200"/>
        <w:jc w:val="both"/>
        <w:textAlignment w:val="auto"/>
        <w:rPr>
          <w:rFonts w:ascii="楷体_GB2312" w:hAnsi="仿宋" w:eastAsia="楷体_GB2312" w:cs="Times New Roman"/>
          <w:b/>
          <w:snapToGrid/>
          <w:kern w:val="2"/>
          <w:sz w:val="32"/>
          <w:szCs w:val="32"/>
        </w:rPr>
      </w:pPr>
      <w:r>
        <w:rPr>
          <w:rFonts w:hint="eastAsia" w:ascii="楷体_GB2312" w:hAnsi="仿宋" w:eastAsia="楷体_GB2312" w:cs="Times New Roman"/>
          <w:b/>
          <w:snapToGrid/>
          <w:kern w:val="2"/>
          <w:sz w:val="32"/>
          <w:szCs w:val="32"/>
        </w:rPr>
        <w:t>(三) “十佳校园阅读推广人”推荐条件（申报单位：各二级学院、各部门）</w:t>
      </w:r>
    </w:p>
    <w:p>
      <w:pPr>
        <w:widowControl w:val="0"/>
        <w:kinsoku/>
        <w:autoSpaceDE/>
        <w:autoSpaceDN/>
        <w:adjustRightInd/>
        <w:spacing w:line="560" w:lineRule="exact"/>
        <w:ind w:firstLine="640" w:firstLineChars="200"/>
        <w:jc w:val="both"/>
        <w:textAlignment w:val="auto"/>
        <w:rPr>
          <w:rFonts w:ascii="仿宋_GB2312" w:hAnsi="仿宋" w:eastAsia="仿宋_GB2312" w:cs="Times New Roman"/>
          <w:snapToGrid/>
          <w:kern w:val="2"/>
          <w:sz w:val="32"/>
          <w:szCs w:val="32"/>
        </w:rPr>
      </w:pPr>
      <w:r>
        <w:rPr>
          <w:rFonts w:hint="eastAsia" w:ascii="仿宋_GB2312" w:hAnsi="仿宋" w:eastAsia="仿宋_GB2312" w:cs="Times New Roman"/>
          <w:snapToGrid/>
          <w:kern w:val="2"/>
          <w:sz w:val="32"/>
          <w:szCs w:val="32"/>
        </w:rPr>
        <w:t>“十佳校园阅读推广人”面向在校园读书创作活动中甘于奉献、起到重要引领作用的先进模范人物。要求是热爱读书、热心校园阅读推广的教育工作者。积极弘扬中华优秀传统文化， 践行社会主义核心价值观，热心推动中华优秀传统文化传播， 有强烈的社会责任感和奉献精神。积极向青少年及全社会传递 正确的读书观念。在推广校园阅读的公益活动中有探索、有行 动、有成效、有影响。</w:t>
      </w:r>
    </w:p>
    <w:p>
      <w:pPr>
        <w:widowControl w:val="0"/>
        <w:kinsoku/>
        <w:autoSpaceDE/>
        <w:autoSpaceDN/>
        <w:adjustRightInd/>
        <w:spacing w:line="560" w:lineRule="exact"/>
        <w:ind w:firstLine="643" w:firstLineChars="200"/>
        <w:jc w:val="both"/>
        <w:textAlignment w:val="auto"/>
        <w:rPr>
          <w:rFonts w:ascii="楷体_GB2312" w:hAnsi="仿宋" w:eastAsia="楷体_GB2312" w:cs="Times New Roman"/>
          <w:b/>
          <w:snapToGrid/>
          <w:kern w:val="2"/>
          <w:sz w:val="32"/>
          <w:szCs w:val="32"/>
        </w:rPr>
      </w:pPr>
      <w:r>
        <w:rPr>
          <w:rFonts w:hint="eastAsia" w:ascii="楷体_GB2312" w:hAnsi="仿宋" w:eastAsia="楷体_GB2312" w:cs="Times New Roman"/>
          <w:b/>
          <w:snapToGrid/>
          <w:kern w:val="2"/>
          <w:sz w:val="32"/>
          <w:szCs w:val="32"/>
        </w:rPr>
        <w:t>（四）“十佳优秀阅读推广案例”推荐条件（申报单位：各二级学院、各部门）</w:t>
      </w:r>
    </w:p>
    <w:p>
      <w:pPr>
        <w:widowControl w:val="0"/>
        <w:kinsoku/>
        <w:autoSpaceDE/>
        <w:autoSpaceDN/>
        <w:adjustRightInd/>
        <w:spacing w:line="560" w:lineRule="exact"/>
        <w:ind w:firstLine="640" w:firstLineChars="200"/>
        <w:jc w:val="both"/>
        <w:textAlignment w:val="auto"/>
        <w:rPr>
          <w:rFonts w:ascii="黑体" w:hAnsi="黑体" w:eastAsia="黑体" w:cs="Times New Roman"/>
          <w:snapToGrid/>
          <w:kern w:val="2"/>
          <w:sz w:val="32"/>
          <w:szCs w:val="32"/>
        </w:rPr>
      </w:pPr>
      <w:r>
        <w:rPr>
          <w:rFonts w:hint="eastAsia" w:ascii="仿宋_GB2312" w:hAnsi="仿宋" w:eastAsia="仿宋_GB2312" w:cs="Times New Roman"/>
          <w:snapToGrid/>
          <w:kern w:val="2"/>
          <w:sz w:val="32"/>
          <w:szCs w:val="32"/>
        </w:rPr>
        <w:t>案例须是各地教育主管部门及各级各类学校所开展的具备一定社会影响力和知名度的阅读推广活动，持续开展三年以上并具有品牌潜力或已成为所在地区知名校园阅读品牌。案例要具备真实性、创新性，要创新思想方法、工作方法，要善用教育规律、阅读规律谋事、干事，在立德树人方面成效显著，具有启发意义和可借鉴性。</w:t>
      </w:r>
      <w:bookmarkStart w:id="0" w:name="_GoBack"/>
      <w:bookmarkEnd w:id="0"/>
    </w:p>
    <w:p>
      <w:pPr>
        <w:widowControl w:val="0"/>
        <w:kinsoku/>
        <w:autoSpaceDE/>
        <w:autoSpaceDN/>
        <w:adjustRightInd/>
        <w:spacing w:line="560" w:lineRule="exact"/>
        <w:ind w:firstLine="640" w:firstLineChars="200"/>
        <w:jc w:val="both"/>
        <w:textAlignment w:val="auto"/>
        <w:rPr>
          <w:rFonts w:ascii="仿宋_GB2312" w:hAnsi="仿宋" w:eastAsia="仿宋_GB2312" w:cs="Times New Roman"/>
          <w:snapToGrid/>
          <w:kern w:val="2"/>
          <w:sz w:val="32"/>
          <w:szCs w:val="32"/>
        </w:rPr>
        <w:sectPr>
          <w:pgSz w:w="11906" w:h="16838"/>
          <w:pgMar w:top="400" w:right="1733" w:bottom="1431" w:left="1521" w:header="0" w:footer="1147" w:gutter="0"/>
          <w:cols w:space="720" w:num="1"/>
        </w:sectPr>
      </w:pPr>
      <w:r>
        <w:rPr>
          <w:rFonts w:hint="eastAsia" w:ascii="仿宋_GB2312" w:hAnsi="仿宋" w:eastAsia="仿宋_GB2312" w:cs="Times New Roman"/>
          <w:snapToGrid/>
          <w:kern w:val="2"/>
          <w:sz w:val="32"/>
          <w:szCs w:val="32"/>
        </w:rPr>
        <w:t>各单位须在规定时间内，将推荐对象申报表(见后)和其他申报材料的电子档报送至党委宣传部，电子档标题注明“评选类别+推荐单位名称+姓名”，同时须报送纸质材料2份。报送截止时间：2022年9月15日，联系人：许文文，电话： 0550-3510020，邮箱：</w:t>
      </w:r>
      <w:r>
        <w:fldChar w:fldCharType="begin"/>
      </w:r>
      <w:r>
        <w:instrText xml:space="preserve"> HYPERLINK "mailto:3511068028@qq.com。" </w:instrText>
      </w:r>
      <w:r>
        <w:fldChar w:fldCharType="separate"/>
      </w:r>
      <w:r>
        <w:rPr>
          <w:rFonts w:hint="eastAsia" w:ascii="仿宋_GB2312" w:hAnsi="仿宋" w:eastAsia="仿宋_GB2312" w:cs="Times New Roman"/>
          <w:snapToGrid/>
          <w:kern w:val="2"/>
          <w:sz w:val="32"/>
          <w:szCs w:val="32"/>
        </w:rPr>
        <w:t>3511068028@qq.com。</w:t>
      </w:r>
      <w:r>
        <w:rPr>
          <w:rFonts w:hint="eastAsia" w:ascii="仿宋_GB2312" w:hAnsi="仿宋" w:eastAsia="仿宋_GB2312" w:cs="Times New Roman"/>
          <w:snapToGrid/>
          <w:kern w:val="2"/>
          <w:sz w:val="32"/>
          <w:szCs w:val="32"/>
        </w:rPr>
        <w:fldChar w:fldCharType="end"/>
      </w:r>
    </w:p>
    <w:p>
      <w:pPr>
        <w:widowControl w:val="0"/>
        <w:kinsoku/>
        <w:autoSpaceDE/>
        <w:autoSpaceDN/>
        <w:adjustRightInd/>
        <w:spacing w:line="560" w:lineRule="exact"/>
        <w:jc w:val="both"/>
        <w:textAlignment w:val="auto"/>
        <w:rPr>
          <w:rFonts w:ascii="仿宋_GB2312" w:hAnsi="仿宋" w:eastAsia="仿宋_GB2312" w:cs="Times New Roman"/>
          <w:snapToGrid/>
          <w:kern w:val="2"/>
          <w:sz w:val="32"/>
          <w:szCs w:val="32"/>
        </w:rPr>
      </w:pPr>
    </w:p>
    <w:p>
      <w:pPr>
        <w:spacing w:before="184" w:line="185" w:lineRule="auto"/>
        <w:ind w:left="1251"/>
        <w:rPr>
          <w:rFonts w:ascii="微软雅黑" w:hAnsi="微软雅黑" w:eastAsia="微软雅黑" w:cs="微软雅黑"/>
          <w:sz w:val="43"/>
          <w:szCs w:val="43"/>
        </w:rPr>
      </w:pPr>
      <w:r>
        <w:rPr>
          <w:rFonts w:ascii="Times New Roman" w:hAnsi="Times New Roman" w:eastAsia="Times New Roman" w:cs="Times New Roman"/>
          <w:spacing w:val="15"/>
          <w:sz w:val="43"/>
          <w:szCs w:val="43"/>
        </w:rPr>
        <w:t>“</w:t>
      </w:r>
      <w:r>
        <w:rPr>
          <w:rFonts w:ascii="微软雅黑" w:hAnsi="微软雅黑" w:eastAsia="微软雅黑" w:cs="微软雅黑"/>
          <w:spacing w:val="15"/>
          <w:sz w:val="43"/>
          <w:szCs w:val="43"/>
        </w:rPr>
        <w:t>十佳书香校园</w:t>
      </w:r>
      <w:r>
        <w:rPr>
          <w:rFonts w:ascii="Times New Roman" w:hAnsi="Times New Roman" w:eastAsia="Times New Roman" w:cs="Times New Roman"/>
          <w:spacing w:val="15"/>
          <w:sz w:val="43"/>
          <w:szCs w:val="43"/>
        </w:rPr>
        <w:t>”</w:t>
      </w:r>
      <w:r>
        <w:rPr>
          <w:rFonts w:ascii="微软雅黑" w:hAnsi="微软雅黑" w:eastAsia="微软雅黑" w:cs="微软雅黑"/>
          <w:spacing w:val="15"/>
          <w:sz w:val="43"/>
          <w:szCs w:val="43"/>
        </w:rPr>
        <w:t>等项目申报</w:t>
      </w:r>
      <w:r>
        <w:rPr>
          <w:rFonts w:ascii="微软雅黑" w:hAnsi="微软雅黑" w:eastAsia="微软雅黑" w:cs="微软雅黑"/>
          <w:spacing w:val="12"/>
          <w:sz w:val="43"/>
          <w:szCs w:val="43"/>
        </w:rPr>
        <w:t>表</w:t>
      </w:r>
    </w:p>
    <w:p>
      <w:pPr>
        <w:spacing w:line="182" w:lineRule="exact"/>
      </w:pPr>
    </w:p>
    <w:tbl>
      <w:tblPr>
        <w:tblStyle w:val="7"/>
        <w:tblW w:w="853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7"/>
        <w:gridCol w:w="1728"/>
        <w:gridCol w:w="1812"/>
        <w:gridCol w:w="1184"/>
        <w:gridCol w:w="20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727" w:type="dxa"/>
          </w:tcPr>
          <w:p>
            <w:pPr>
              <w:spacing w:before="41" w:line="225" w:lineRule="auto"/>
              <w:ind w:left="424"/>
              <w:rPr>
                <w:rFonts w:ascii="仿宋" w:hAnsi="仿宋" w:eastAsia="仿宋" w:cs="仿宋"/>
                <w:sz w:val="23"/>
                <w:szCs w:val="23"/>
              </w:rPr>
            </w:pPr>
            <w:r>
              <w:rPr>
                <w:rFonts w:ascii="仿宋" w:hAnsi="仿宋" w:eastAsia="仿宋" w:cs="仿宋"/>
                <w:spacing w:val="-1"/>
                <w:sz w:val="23"/>
                <w:szCs w:val="23"/>
              </w:rPr>
              <w:t>申报项目</w:t>
            </w:r>
          </w:p>
        </w:tc>
        <w:tc>
          <w:tcPr>
            <w:tcW w:w="6804" w:type="dxa"/>
            <w:gridSpan w:val="4"/>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1727" w:type="dxa"/>
          </w:tcPr>
          <w:p>
            <w:pPr>
              <w:spacing w:before="35" w:line="224" w:lineRule="auto"/>
              <w:ind w:left="153"/>
              <w:rPr>
                <w:rFonts w:ascii="仿宋" w:hAnsi="仿宋" w:eastAsia="仿宋" w:cs="仿宋"/>
                <w:sz w:val="23"/>
                <w:szCs w:val="23"/>
              </w:rPr>
            </w:pPr>
            <w:r>
              <w:rPr>
                <w:rFonts w:ascii="仿宋" w:hAnsi="仿宋" w:eastAsia="仿宋" w:cs="仿宋"/>
                <w:spacing w:val="14"/>
                <w:sz w:val="23"/>
                <w:szCs w:val="23"/>
              </w:rPr>
              <w:t>申</w:t>
            </w:r>
            <w:r>
              <w:rPr>
                <w:rFonts w:ascii="仿宋" w:hAnsi="仿宋" w:eastAsia="仿宋" w:cs="仿宋"/>
                <w:spacing w:val="10"/>
                <w:sz w:val="23"/>
                <w:szCs w:val="23"/>
              </w:rPr>
              <w:t>报单位(人)</w:t>
            </w:r>
          </w:p>
        </w:tc>
        <w:tc>
          <w:tcPr>
            <w:tcW w:w="6804" w:type="dxa"/>
            <w:gridSpan w:val="4"/>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1727" w:type="dxa"/>
          </w:tcPr>
          <w:p>
            <w:pPr>
              <w:spacing w:before="36" w:line="227" w:lineRule="auto"/>
              <w:ind w:left="394"/>
              <w:rPr>
                <w:rFonts w:ascii="仿宋" w:hAnsi="仿宋" w:eastAsia="仿宋" w:cs="仿宋"/>
                <w:sz w:val="23"/>
                <w:szCs w:val="23"/>
              </w:rPr>
            </w:pPr>
            <w:r>
              <w:rPr>
                <w:rFonts w:ascii="仿宋" w:hAnsi="仿宋" w:eastAsia="仿宋" w:cs="仿宋"/>
                <w:spacing w:val="6"/>
                <w:sz w:val="23"/>
                <w:szCs w:val="23"/>
              </w:rPr>
              <w:t>通讯地址</w:t>
            </w:r>
          </w:p>
        </w:tc>
        <w:tc>
          <w:tcPr>
            <w:tcW w:w="3540" w:type="dxa"/>
            <w:gridSpan w:val="2"/>
          </w:tcPr>
          <w:p/>
        </w:tc>
        <w:tc>
          <w:tcPr>
            <w:tcW w:w="1184" w:type="dxa"/>
          </w:tcPr>
          <w:p>
            <w:pPr>
              <w:spacing w:before="37" w:line="224" w:lineRule="auto"/>
              <w:ind w:left="128"/>
              <w:rPr>
                <w:rFonts w:ascii="仿宋" w:hAnsi="仿宋" w:eastAsia="仿宋" w:cs="仿宋"/>
                <w:sz w:val="23"/>
                <w:szCs w:val="23"/>
              </w:rPr>
            </w:pPr>
            <w:r>
              <w:rPr>
                <w:rFonts w:ascii="仿宋" w:hAnsi="仿宋" w:eastAsia="仿宋" w:cs="仿宋"/>
                <w:spacing w:val="5"/>
                <w:sz w:val="23"/>
                <w:szCs w:val="23"/>
              </w:rPr>
              <w:t>邮政编码</w:t>
            </w:r>
          </w:p>
        </w:tc>
        <w:tc>
          <w:tcPr>
            <w:tcW w:w="208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727" w:type="dxa"/>
            <w:vMerge w:val="restart"/>
            <w:tcBorders>
              <w:bottom w:val="nil"/>
            </w:tcBorders>
          </w:tcPr>
          <w:p>
            <w:pPr>
              <w:spacing w:before="311" w:line="224" w:lineRule="auto"/>
              <w:ind w:left="268"/>
              <w:rPr>
                <w:rFonts w:ascii="仿宋" w:hAnsi="仿宋" w:eastAsia="仿宋" w:cs="仿宋"/>
                <w:sz w:val="23"/>
                <w:szCs w:val="23"/>
              </w:rPr>
            </w:pPr>
            <w:r>
              <w:rPr>
                <w:rFonts w:ascii="仿宋" w:hAnsi="仿宋" w:eastAsia="仿宋" w:cs="仿宋"/>
                <w:spacing w:val="8"/>
                <w:sz w:val="23"/>
                <w:szCs w:val="23"/>
              </w:rPr>
              <w:t>联络人信息</w:t>
            </w:r>
          </w:p>
        </w:tc>
        <w:tc>
          <w:tcPr>
            <w:tcW w:w="1728" w:type="dxa"/>
          </w:tcPr>
          <w:p>
            <w:pPr>
              <w:spacing w:before="37" w:line="227" w:lineRule="auto"/>
              <w:ind w:left="629"/>
              <w:rPr>
                <w:rFonts w:ascii="仿宋" w:hAnsi="仿宋" w:eastAsia="仿宋" w:cs="仿宋"/>
                <w:sz w:val="23"/>
                <w:szCs w:val="23"/>
              </w:rPr>
            </w:pPr>
            <w:r>
              <w:rPr>
                <w:rFonts w:ascii="仿宋" w:hAnsi="仿宋" w:eastAsia="仿宋" w:cs="仿宋"/>
                <w:spacing w:val="5"/>
                <w:sz w:val="23"/>
                <w:szCs w:val="23"/>
              </w:rPr>
              <w:t>姓名</w:t>
            </w:r>
          </w:p>
        </w:tc>
        <w:tc>
          <w:tcPr>
            <w:tcW w:w="2996" w:type="dxa"/>
            <w:gridSpan w:val="2"/>
          </w:tcPr>
          <w:p>
            <w:pPr>
              <w:spacing w:before="37" w:line="226" w:lineRule="auto"/>
              <w:ind w:left="1276"/>
              <w:rPr>
                <w:rFonts w:ascii="仿宋" w:hAnsi="仿宋" w:eastAsia="仿宋" w:cs="仿宋"/>
                <w:sz w:val="23"/>
                <w:szCs w:val="23"/>
              </w:rPr>
            </w:pPr>
            <w:r>
              <w:rPr>
                <w:rFonts w:ascii="仿宋" w:hAnsi="仿宋" w:eastAsia="仿宋" w:cs="仿宋"/>
                <w:sz w:val="23"/>
                <w:szCs w:val="23"/>
              </w:rPr>
              <w:t>职务</w:t>
            </w:r>
          </w:p>
        </w:tc>
        <w:tc>
          <w:tcPr>
            <w:tcW w:w="2080" w:type="dxa"/>
          </w:tcPr>
          <w:p>
            <w:pPr>
              <w:spacing w:before="37" w:line="225" w:lineRule="auto"/>
              <w:ind w:left="576"/>
              <w:rPr>
                <w:rFonts w:ascii="仿宋" w:hAnsi="仿宋" w:eastAsia="仿宋" w:cs="仿宋"/>
                <w:sz w:val="23"/>
                <w:szCs w:val="23"/>
              </w:rPr>
            </w:pPr>
            <w:r>
              <w:rPr>
                <w:rFonts w:ascii="仿宋" w:hAnsi="仿宋" w:eastAsia="仿宋" w:cs="仿宋"/>
                <w:spacing w:val="5"/>
                <w:sz w:val="23"/>
                <w:szCs w:val="23"/>
              </w:rPr>
              <w:t>手机号码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727" w:type="dxa"/>
            <w:vMerge w:val="continue"/>
            <w:tcBorders>
              <w:top w:val="nil"/>
            </w:tcBorders>
          </w:tcPr>
          <w:p/>
        </w:tc>
        <w:tc>
          <w:tcPr>
            <w:tcW w:w="1728" w:type="dxa"/>
          </w:tcPr>
          <w:p/>
        </w:tc>
        <w:tc>
          <w:tcPr>
            <w:tcW w:w="2996" w:type="dxa"/>
            <w:gridSpan w:val="2"/>
          </w:tcPr>
          <w:p/>
        </w:tc>
        <w:tc>
          <w:tcPr>
            <w:tcW w:w="208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1" w:hRule="atLeast"/>
        </w:trPr>
        <w:tc>
          <w:tcPr>
            <w:tcW w:w="1727" w:type="dxa"/>
          </w:tcPr>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3" w:lineRule="auto"/>
            </w:pPr>
          </w:p>
          <w:p>
            <w:pPr>
              <w:spacing w:line="244" w:lineRule="auto"/>
            </w:pPr>
          </w:p>
          <w:p>
            <w:pPr>
              <w:spacing w:before="74" w:line="244" w:lineRule="auto"/>
              <w:ind w:left="231" w:right="221" w:firstLine="193"/>
              <w:rPr>
                <w:rFonts w:ascii="仿宋" w:hAnsi="仿宋" w:eastAsia="仿宋" w:cs="仿宋"/>
                <w:sz w:val="23"/>
                <w:szCs w:val="23"/>
              </w:rPr>
            </w:pPr>
            <w:r>
              <w:rPr>
                <w:rFonts w:ascii="仿宋" w:hAnsi="仿宋" w:eastAsia="仿宋" w:cs="仿宋"/>
                <w:spacing w:val="-2"/>
                <w:sz w:val="23"/>
                <w:szCs w:val="23"/>
              </w:rPr>
              <w:t>申报</w:t>
            </w:r>
            <w:r>
              <w:rPr>
                <w:rFonts w:ascii="仿宋" w:hAnsi="仿宋" w:eastAsia="仿宋" w:cs="仿宋"/>
                <w:spacing w:val="-1"/>
                <w:sz w:val="23"/>
                <w:szCs w:val="23"/>
              </w:rPr>
              <w:t>理由</w:t>
            </w:r>
            <w:r>
              <w:rPr>
                <w:rFonts w:ascii="仿宋" w:hAnsi="仿宋" w:eastAsia="仿宋" w:cs="仿宋"/>
                <w:sz w:val="23"/>
                <w:szCs w:val="23"/>
              </w:rPr>
              <w:t xml:space="preserve"> </w:t>
            </w:r>
            <w:r>
              <w:rPr>
                <w:rFonts w:ascii="Times New Roman" w:hAnsi="Times New Roman" w:eastAsia="Times New Roman" w:cs="Times New Roman"/>
                <w:spacing w:val="7"/>
                <w:sz w:val="23"/>
                <w:szCs w:val="23"/>
              </w:rPr>
              <w:t>(</w:t>
            </w:r>
            <w:r>
              <w:rPr>
                <w:rFonts w:ascii="仿宋" w:hAnsi="仿宋" w:eastAsia="仿宋" w:cs="仿宋"/>
                <w:spacing w:val="7"/>
                <w:sz w:val="23"/>
                <w:szCs w:val="23"/>
              </w:rPr>
              <w:t>请依据推荐</w:t>
            </w:r>
          </w:p>
          <w:p>
            <w:pPr>
              <w:spacing w:before="11" w:line="258" w:lineRule="auto"/>
              <w:ind w:left="115" w:right="106" w:firstLine="156"/>
              <w:rPr>
                <w:rFonts w:ascii="Times New Roman" w:hAnsi="Times New Roman" w:eastAsia="Times New Roman" w:cs="Times New Roman"/>
                <w:sz w:val="23"/>
                <w:szCs w:val="23"/>
              </w:rPr>
            </w:pPr>
            <w:r>
              <w:rPr>
                <w:rFonts w:ascii="仿宋" w:hAnsi="仿宋" w:eastAsia="仿宋" w:cs="仿宋"/>
                <w:spacing w:val="9"/>
                <w:sz w:val="23"/>
                <w:szCs w:val="23"/>
              </w:rPr>
              <w:t>条</w:t>
            </w:r>
            <w:r>
              <w:rPr>
                <w:rFonts w:ascii="仿宋" w:hAnsi="仿宋" w:eastAsia="仿宋" w:cs="仿宋"/>
                <w:spacing w:val="7"/>
                <w:sz w:val="23"/>
                <w:szCs w:val="23"/>
              </w:rPr>
              <w:t>件简要描</w:t>
            </w:r>
            <w:r>
              <w:rPr>
                <w:rFonts w:ascii="仿宋" w:hAnsi="仿宋" w:eastAsia="仿宋" w:cs="仿宋"/>
                <w:sz w:val="23"/>
                <w:szCs w:val="23"/>
              </w:rPr>
              <w:t xml:space="preserve"> </w:t>
            </w:r>
            <w:r>
              <w:rPr>
                <w:rFonts w:ascii="仿宋" w:hAnsi="仿宋" w:eastAsia="仿宋" w:cs="仿宋"/>
                <w:spacing w:val="-15"/>
                <w:sz w:val="23"/>
                <w:szCs w:val="23"/>
              </w:rPr>
              <w:t>述</w:t>
            </w:r>
            <w:r>
              <w:rPr>
                <w:rFonts w:ascii="仿宋" w:hAnsi="仿宋" w:eastAsia="仿宋" w:cs="仿宋"/>
                <w:spacing w:val="-12"/>
                <w:sz w:val="23"/>
                <w:szCs w:val="23"/>
              </w:rPr>
              <w:t xml:space="preserve">，不超过 </w:t>
            </w:r>
            <w:r>
              <w:rPr>
                <w:rFonts w:ascii="Times New Roman" w:hAnsi="Times New Roman" w:eastAsia="Times New Roman" w:cs="Times New Roman"/>
                <w:spacing w:val="-12"/>
                <w:sz w:val="23"/>
                <w:szCs w:val="23"/>
              </w:rPr>
              <w:t>300</w:t>
            </w:r>
            <w:r>
              <w:rPr>
                <w:rFonts w:ascii="Times New Roman" w:hAnsi="Times New Roman" w:eastAsia="Times New Roman" w:cs="Times New Roman"/>
                <w:sz w:val="23"/>
                <w:szCs w:val="23"/>
              </w:rPr>
              <w:t xml:space="preserve"> </w:t>
            </w:r>
            <w:r>
              <w:rPr>
                <w:rFonts w:ascii="仿宋" w:hAnsi="仿宋" w:eastAsia="仿宋" w:cs="仿宋"/>
                <w:spacing w:val="14"/>
                <w:sz w:val="23"/>
                <w:szCs w:val="23"/>
              </w:rPr>
              <w:t>字。其他支</w:t>
            </w:r>
            <w:r>
              <w:rPr>
                <w:rFonts w:ascii="仿宋" w:hAnsi="仿宋" w:eastAsia="仿宋" w:cs="仿宋"/>
                <w:spacing w:val="13"/>
                <w:sz w:val="23"/>
                <w:szCs w:val="23"/>
              </w:rPr>
              <w:t>撑</w:t>
            </w:r>
            <w:r>
              <w:rPr>
                <w:rFonts w:ascii="仿宋" w:hAnsi="仿宋" w:eastAsia="仿宋" w:cs="仿宋"/>
                <w:sz w:val="23"/>
                <w:szCs w:val="23"/>
              </w:rPr>
              <w:t xml:space="preserve"> </w:t>
            </w:r>
            <w:r>
              <w:rPr>
                <w:rFonts w:ascii="仿宋" w:hAnsi="仿宋" w:eastAsia="仿宋" w:cs="仿宋"/>
                <w:spacing w:val="6"/>
                <w:sz w:val="23"/>
                <w:szCs w:val="23"/>
              </w:rPr>
              <w:t>材料请另附。</w:t>
            </w:r>
            <w:r>
              <w:rPr>
                <w:rFonts w:ascii="Times New Roman" w:hAnsi="Times New Roman" w:eastAsia="Times New Roman" w:cs="Times New Roman"/>
                <w:spacing w:val="5"/>
                <w:sz w:val="23"/>
                <w:szCs w:val="23"/>
              </w:rPr>
              <w:t>)</w:t>
            </w:r>
          </w:p>
        </w:tc>
        <w:tc>
          <w:tcPr>
            <w:tcW w:w="6804" w:type="dxa"/>
            <w:gridSpan w:val="4"/>
          </w:tcPr>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before="74" w:line="224" w:lineRule="auto"/>
              <w:ind w:right="177"/>
              <w:jc w:val="right"/>
              <w:rPr>
                <w:rFonts w:ascii="仿宋" w:hAnsi="仿宋" w:eastAsia="仿宋" w:cs="仿宋"/>
                <w:sz w:val="23"/>
                <w:szCs w:val="23"/>
              </w:rPr>
            </w:pPr>
            <w:r>
              <w:rPr>
                <w:rFonts w:ascii="仿宋" w:hAnsi="仿宋" w:eastAsia="仿宋" w:cs="仿宋"/>
                <w:spacing w:val="28"/>
                <w:sz w:val="23"/>
                <w:szCs w:val="23"/>
              </w:rPr>
              <w:t>(</w:t>
            </w:r>
            <w:r>
              <w:rPr>
                <w:rFonts w:ascii="仿宋" w:hAnsi="仿宋" w:eastAsia="仿宋" w:cs="仿宋"/>
                <w:spacing w:val="15"/>
                <w:sz w:val="23"/>
                <w:szCs w:val="23"/>
              </w:rPr>
              <w:t>申</w:t>
            </w:r>
            <w:r>
              <w:rPr>
                <w:rFonts w:ascii="仿宋" w:hAnsi="仿宋" w:eastAsia="仿宋" w:cs="仿宋"/>
                <w:spacing w:val="14"/>
                <w:sz w:val="23"/>
                <w:szCs w:val="23"/>
              </w:rPr>
              <w:t>报单位盖章)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1" w:hRule="atLeast"/>
        </w:trPr>
        <w:tc>
          <w:tcPr>
            <w:tcW w:w="1727" w:type="dxa"/>
          </w:tcPr>
          <w:p>
            <w:pPr>
              <w:spacing w:line="256" w:lineRule="auto"/>
            </w:pPr>
          </w:p>
          <w:p>
            <w:pPr>
              <w:spacing w:line="256" w:lineRule="auto"/>
            </w:pPr>
          </w:p>
          <w:p>
            <w:pPr>
              <w:spacing w:before="75" w:line="259" w:lineRule="auto"/>
              <w:ind w:left="122" w:right="105" w:hanging="7"/>
              <w:rPr>
                <w:rFonts w:ascii="仿宋" w:hAnsi="仿宋" w:eastAsia="仿宋" w:cs="仿宋"/>
                <w:sz w:val="23"/>
                <w:szCs w:val="23"/>
              </w:rPr>
            </w:pPr>
            <w:r>
              <w:rPr>
                <w:rFonts w:ascii="仿宋" w:hAnsi="仿宋" w:eastAsia="仿宋" w:cs="仿宋"/>
                <w:spacing w:val="20"/>
                <w:sz w:val="23"/>
                <w:szCs w:val="23"/>
              </w:rPr>
              <w:t>地市、高校或</w:t>
            </w:r>
            <w:r>
              <w:rPr>
                <w:rFonts w:ascii="仿宋" w:hAnsi="仿宋" w:eastAsia="仿宋" w:cs="仿宋"/>
                <w:sz w:val="23"/>
                <w:szCs w:val="23"/>
              </w:rPr>
              <w:t xml:space="preserve"> </w:t>
            </w:r>
            <w:r>
              <w:rPr>
                <w:rFonts w:ascii="仿宋" w:hAnsi="仿宋" w:eastAsia="仿宋" w:cs="仿宋"/>
                <w:spacing w:val="22"/>
                <w:sz w:val="23"/>
                <w:szCs w:val="23"/>
              </w:rPr>
              <w:t>省</w:t>
            </w:r>
            <w:r>
              <w:rPr>
                <w:rFonts w:ascii="仿宋" w:hAnsi="仿宋" w:eastAsia="仿宋" w:cs="仿宋"/>
                <w:spacing w:val="18"/>
                <w:sz w:val="23"/>
                <w:szCs w:val="23"/>
              </w:rPr>
              <w:t>技工院校组</w:t>
            </w:r>
            <w:r>
              <w:rPr>
                <w:rFonts w:ascii="仿宋" w:hAnsi="仿宋" w:eastAsia="仿宋" w:cs="仿宋"/>
                <w:sz w:val="23"/>
                <w:szCs w:val="23"/>
              </w:rPr>
              <w:t xml:space="preserve"> </w:t>
            </w:r>
            <w:r>
              <w:rPr>
                <w:rFonts w:ascii="仿宋" w:hAnsi="仿宋" w:eastAsia="仿宋" w:cs="仿宋"/>
                <w:spacing w:val="6"/>
                <w:sz w:val="23"/>
                <w:szCs w:val="23"/>
              </w:rPr>
              <w:t>委会意见</w:t>
            </w:r>
          </w:p>
        </w:tc>
        <w:tc>
          <w:tcPr>
            <w:tcW w:w="6804" w:type="dxa"/>
            <w:gridSpan w:val="4"/>
          </w:tcPr>
          <w:p>
            <w:pPr>
              <w:spacing w:line="267" w:lineRule="auto"/>
            </w:pPr>
          </w:p>
          <w:p>
            <w:pPr>
              <w:spacing w:line="267" w:lineRule="auto"/>
            </w:pPr>
          </w:p>
          <w:p>
            <w:pPr>
              <w:spacing w:line="267" w:lineRule="auto"/>
            </w:pPr>
          </w:p>
          <w:p>
            <w:pPr>
              <w:spacing w:line="267" w:lineRule="auto"/>
            </w:pPr>
          </w:p>
          <w:p>
            <w:pPr>
              <w:spacing w:line="268" w:lineRule="auto"/>
            </w:pPr>
          </w:p>
          <w:p>
            <w:pPr>
              <w:spacing w:before="74" w:line="225" w:lineRule="auto"/>
              <w:ind w:right="117"/>
              <w:jc w:val="right"/>
              <w:rPr>
                <w:rFonts w:ascii="仿宋" w:hAnsi="仿宋" w:eastAsia="仿宋" w:cs="仿宋"/>
                <w:sz w:val="23"/>
                <w:szCs w:val="23"/>
              </w:rPr>
            </w:pPr>
            <w:r>
              <w:rPr>
                <w:rFonts w:ascii="仿宋" w:hAnsi="仿宋" w:eastAsia="仿宋" w:cs="仿宋"/>
                <w:spacing w:val="35"/>
                <w:sz w:val="23"/>
                <w:szCs w:val="23"/>
              </w:rPr>
              <w:t>(</w:t>
            </w:r>
            <w:r>
              <w:rPr>
                <w:rFonts w:ascii="仿宋" w:hAnsi="仿宋" w:eastAsia="仿宋" w:cs="仿宋"/>
                <w:spacing w:val="26"/>
                <w:sz w:val="23"/>
                <w:szCs w:val="23"/>
              </w:rPr>
              <w:t>盖章)(代)      年  月  日</w:t>
            </w:r>
          </w:p>
        </w:tc>
      </w:tr>
    </w:tbl>
    <w:p>
      <w:pPr>
        <w:widowControl w:val="0"/>
        <w:kinsoku/>
        <w:autoSpaceDE/>
        <w:autoSpaceDN/>
        <w:adjustRightInd/>
        <w:spacing w:line="560" w:lineRule="exact"/>
        <w:ind w:firstLine="640" w:firstLineChars="200"/>
        <w:jc w:val="both"/>
        <w:textAlignment w:val="auto"/>
        <w:rPr>
          <w:rFonts w:ascii="仿宋_GB2312" w:hAnsi="仿宋" w:eastAsia="仿宋_GB2312" w:cs="Times New Roman"/>
          <w:snapToGrid/>
          <w:kern w:val="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3Njg5OTk4NDUwZTc5ZGIzYjI1YTIwYzhiM2MzNDIifQ=="/>
  </w:docVars>
  <w:rsids>
    <w:rsidRoot w:val="315F49EB"/>
    <w:rsid w:val="00082120"/>
    <w:rsid w:val="00125466"/>
    <w:rsid w:val="004824F9"/>
    <w:rsid w:val="00723F5E"/>
    <w:rsid w:val="00884175"/>
    <w:rsid w:val="00A57988"/>
    <w:rsid w:val="00D1464D"/>
    <w:rsid w:val="00F36696"/>
    <w:rsid w:val="01DA42FA"/>
    <w:rsid w:val="079876D0"/>
    <w:rsid w:val="0FFE176A"/>
    <w:rsid w:val="1F9759F3"/>
    <w:rsid w:val="315F49EB"/>
    <w:rsid w:val="32F91925"/>
    <w:rsid w:val="3FEC1B41"/>
    <w:rsid w:val="508E3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character" w:styleId="6">
    <w:name w:val="Hyperlink"/>
    <w:basedOn w:val="5"/>
    <w:qFormat/>
    <w:uiPriority w:val="0"/>
    <w:rPr>
      <w:color w:val="0000FF"/>
      <w:u w:val="single"/>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1312</Words>
  <Characters>1354</Characters>
  <Lines>10</Lines>
  <Paragraphs>3</Paragraphs>
  <TotalTime>0</TotalTime>
  <ScaleCrop>false</ScaleCrop>
  <LinksUpToDate>false</LinksUpToDate>
  <CharactersWithSpaces>1402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2022-06-13T02:18:00Z</dcterms:created>
  <dc:creator>文言文</dc:creator>
  <cp:lastModifiedBy>文言文</cp:lastModifiedBy>
  <dcterms:modified xsi:type="dcterms:W3CDTF">2022-06-16T06:35:31Z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535BC6A11CB043679BB1D50A6A212121</vt:lpwstr>
  </property>
</Properties>
</file>