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附件1</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宋体" w:hAnsi="宋体" w:eastAsia="宋体" w:cs="宋体"/>
          <w:b/>
          <w:bCs/>
          <w:color w:val="000000"/>
          <w:kern w:val="0"/>
          <w:sz w:val="40"/>
          <w:szCs w:val="40"/>
        </w:rPr>
        <w:t>“读懂中国”活动作品要求</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一、内容要求</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（一）紧扣主题</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2020年是全面建成小康社会的收官之年。在全面建成小康社会的历史征程中，广大“五老”既是参与者，也是见证者。他们在加强社会主义民主与法制建设、推动经济发展、繁荣社会主义文化、建设美丽中国，特别是科技创新、人才培养、精准扶贫等方面，为全面建成小康社会做出了不平凡的贡献，有精彩的故事和深刻的感悟；在新冠疫情防控中，做出了独特贡献，彰显了中国自信、中国精神、中国力量。作品要紧扣“全面小康，奋斗有我”这一主题，深入挖掘、记录、展示、宣传“五老”在参与全面建成小康社会，参与抗疫斗争中的奋斗历程、感人事迹和真实感悟。</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（二）立意明确</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要从小处切入，以小见大，突出“五老”人物事迹，注重发现最伟大的小事、最平凡的奇迹、最日常的奋斗和最具体的全面，强调故事性和细节描述，以“五老”的个体经历反映出全面建成小康社会道路中的伟大成就以及疫情防控中彰显的中国共产党领导和中国特色社会主义制度的显著优势，切忌写成“五老”个人简历。</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（三）内容真实</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记录的“五老”在作品制作时应健在，个人经历须真实可查、有相关资料证明。</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二、其他要求</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（一）征文作品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1.文体要求：</w:t>
      </w:r>
      <w:r>
        <w:rPr>
          <w:rFonts w:hint="eastAsia" w:ascii="宋体" w:hAnsi="宋体" w:eastAsia="宋体" w:cs="宋体"/>
          <w:color w:val="000000"/>
          <w:kern w:val="0"/>
          <w:sz w:val="28"/>
          <w:szCs w:val="28"/>
        </w:rPr>
        <w:t>记叙文</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2.语言要求：</w:t>
      </w:r>
      <w:r>
        <w:rPr>
          <w:rFonts w:hint="eastAsia" w:ascii="宋体" w:hAnsi="宋体" w:eastAsia="宋体" w:cs="宋体"/>
          <w:color w:val="000000"/>
          <w:kern w:val="0"/>
          <w:sz w:val="28"/>
          <w:szCs w:val="28"/>
        </w:rPr>
        <w:t>通顺流畅、表达清晰、可读性强</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3.字数要求：</w:t>
      </w:r>
      <w:r>
        <w:rPr>
          <w:rFonts w:hint="eastAsia" w:ascii="宋体" w:hAnsi="宋体" w:eastAsia="宋体" w:cs="宋体"/>
          <w:color w:val="000000"/>
          <w:kern w:val="0"/>
          <w:sz w:val="28"/>
          <w:szCs w:val="28"/>
        </w:rPr>
        <w:t>不超过2000字</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（二）微视频作品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1.形态风格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节目形态</w:t>
      </w:r>
      <w:r>
        <w:rPr>
          <w:rFonts w:hint="eastAsia" w:ascii="宋体" w:hAnsi="宋体" w:eastAsia="宋体" w:cs="宋体"/>
          <w:color w:val="000000"/>
          <w:kern w:val="0"/>
          <w:sz w:val="28"/>
          <w:szCs w:val="28"/>
        </w:rPr>
        <w:t>：专题片、微纪录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视频格式</w:t>
      </w:r>
      <w:r>
        <w:rPr>
          <w:rFonts w:hint="eastAsia" w:ascii="宋体" w:hAnsi="宋体" w:eastAsia="宋体" w:cs="宋体"/>
          <w:color w:val="000000"/>
          <w:kern w:val="0"/>
          <w:sz w:val="28"/>
          <w:szCs w:val="28"/>
        </w:rPr>
        <w:t>：MP4（不得低于15M码流）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视频标准</w:t>
      </w:r>
      <w:r>
        <w:rPr>
          <w:rFonts w:hint="eastAsia" w:ascii="宋体" w:hAnsi="宋体" w:eastAsia="宋体" w:cs="宋体"/>
          <w:color w:val="000000"/>
          <w:kern w:val="0"/>
          <w:sz w:val="28"/>
          <w:szCs w:val="28"/>
        </w:rPr>
        <w:t>：1920×1080（无损高清格式）</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节目风格</w:t>
      </w:r>
      <w:r>
        <w:rPr>
          <w:rFonts w:hint="eastAsia" w:ascii="宋体" w:hAnsi="宋体" w:eastAsia="宋体" w:cs="宋体"/>
          <w:color w:val="000000"/>
          <w:kern w:val="0"/>
          <w:sz w:val="28"/>
          <w:szCs w:val="28"/>
        </w:rPr>
        <w:t>：用艺术手法拍摄制作校园专题片、微纪录等，画面构图完整清晰、镜头有设计感、拍摄手法丰富，故事内容真实有效。</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时间要求：</w:t>
      </w:r>
      <w:r>
        <w:rPr>
          <w:rFonts w:hint="eastAsia" w:ascii="宋体" w:hAnsi="宋体" w:eastAsia="宋体" w:cs="宋体"/>
          <w:color w:val="000000"/>
          <w:kern w:val="0"/>
          <w:sz w:val="28"/>
          <w:szCs w:val="28"/>
        </w:rPr>
        <w:t>不超过5分钟</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2.拍摄要求</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应为受访者配戴无线话筒进行收音，切忌直接使用摄像机进行录音。</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摄像机使用前应调整白平衡，若是室外拍摄，每1-2小时应进行一次白平衡调整。</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拍摄过程中，保持机身水平，画面构图平衡稳定，推、拉、摇、移镜头要稳，速度匀速，跟上焦点；考虑不同景别的搭配，尽量避免画面中出现高光点，以免因画面反差较大，影响效果；拍摄有特征的全景镜头，能清晰辨认出事件发生的地点；尽量多拍摄，拍摄时长要远远多于实际用时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拍摄结束时，应多录几秒再停机，为剪辑留出余地。</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3.解说要求</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用直白的语言文字叙述；有起承转合，设置高潮或合理安排突出主题；贴近观众的心理，有身临其境的感觉，忌太过公文化、报道痕迹过重。</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4.技术要求</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画面要求</w:t>
      </w:r>
      <w:r>
        <w:rPr>
          <w:rFonts w:hint="eastAsia" w:ascii="宋体" w:hAnsi="宋体" w:eastAsia="宋体" w:cs="宋体"/>
          <w:color w:val="000000"/>
          <w:kern w:val="0"/>
          <w:sz w:val="28"/>
          <w:szCs w:val="28"/>
        </w:rPr>
        <w:t>：统一为全高清（1920×1080）16:9制式，上下不要有黑遮幅；注意保持清晰、干净；有字幕。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音频要求</w:t>
      </w:r>
      <w:r>
        <w:rPr>
          <w:rFonts w:hint="eastAsia" w:ascii="宋体" w:hAnsi="宋体" w:eastAsia="宋体" w:cs="宋体"/>
          <w:color w:val="000000"/>
          <w:kern w:val="0"/>
          <w:sz w:val="28"/>
          <w:szCs w:val="28"/>
        </w:rPr>
        <w:t>：节目声道分为1声道（解说、同期声），2声道（音乐、音效、动效）；最高电频不能超过“-8dB(VU)”，最低电频不能低于“-12dB(VU)”。</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字幕要求</w:t>
      </w:r>
      <w:r>
        <w:rPr>
          <w:rFonts w:hint="eastAsia" w:ascii="宋体" w:hAnsi="宋体" w:eastAsia="宋体" w:cs="宋体"/>
          <w:color w:val="000000"/>
          <w:kern w:val="0"/>
          <w:sz w:val="28"/>
          <w:szCs w:val="28"/>
        </w:rPr>
        <w:t>：对白、旁白和解说等均须加配中文字幕。用字准确无误，不使用繁体字、异体字、错别字；字幕位置居中，字体字号为黑体60号，字边要加阴影；字幕应与画面有良好的同步性。</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5"/>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资料运用</w:t>
      </w:r>
      <w:r>
        <w:rPr>
          <w:rFonts w:hint="eastAsia" w:ascii="宋体" w:hAnsi="宋体" w:eastAsia="宋体" w:cs="宋体"/>
          <w:color w:val="000000"/>
          <w:kern w:val="0"/>
          <w:sz w:val="28"/>
          <w:szCs w:val="28"/>
        </w:rPr>
        <w:t>：片中一旦涉及到非本校拍摄、不属于拍摄团队创作的视频素材，一律要在画面右上角注明“资料”字样。“资料”字体字号为黑体65号，字边要加阴影。</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color w:val="000000"/>
          <w:kern w:val="0"/>
          <w:sz w:val="28"/>
          <w:szCs w:val="28"/>
        </w:rPr>
      </w:pP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br w:type="page"/>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附件2</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color w:val="000000"/>
          <w:kern w:val="0"/>
          <w:sz w:val="40"/>
          <w:szCs w:val="40"/>
        </w:rPr>
      </w:pPr>
      <w:r>
        <w:rPr>
          <w:rFonts w:hint="eastAsia" w:ascii="宋体" w:hAnsi="宋体" w:eastAsia="宋体" w:cs="宋体"/>
          <w:b/>
          <w:bCs/>
          <w:color w:val="000000"/>
          <w:kern w:val="0"/>
          <w:sz w:val="40"/>
          <w:szCs w:val="40"/>
        </w:rPr>
        <w:t>“读懂中国”活动作品评审参考标准</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一、征文评审标准（总分100分）</w:t>
      </w:r>
    </w:p>
    <w:tbl>
      <w:tblPr>
        <w:tblStyle w:val="3"/>
        <w:tblW w:w="9389" w:type="dxa"/>
        <w:tblCellSpacing w:w="0" w:type="dxa"/>
        <w:tblInd w:w="0" w:type="dxa"/>
        <w:shd w:val="clear" w:color="auto" w:fill="FFFFFF"/>
        <w:tblLayout w:type="fixed"/>
        <w:tblCellMar>
          <w:top w:w="0" w:type="dxa"/>
          <w:left w:w="0" w:type="dxa"/>
          <w:bottom w:w="0" w:type="dxa"/>
          <w:right w:w="0" w:type="dxa"/>
        </w:tblCellMar>
      </w:tblPr>
      <w:tblGrid>
        <w:gridCol w:w="2864"/>
        <w:gridCol w:w="6525"/>
      </w:tblGrid>
      <w:tr>
        <w:tblPrEx>
          <w:shd w:val="clear" w:color="auto" w:fill="FFFFFF"/>
          <w:tblLayout w:type="fixed"/>
          <w:tblCellMar>
            <w:top w:w="0" w:type="dxa"/>
            <w:left w:w="0" w:type="dxa"/>
            <w:bottom w:w="0" w:type="dxa"/>
            <w:right w:w="0" w:type="dxa"/>
          </w:tblCellMar>
        </w:tblPrEx>
        <w:trPr>
          <w:tblCellSpacing w:w="0" w:type="dxa"/>
        </w:trPr>
        <w:tc>
          <w:tcPr>
            <w:tcW w:w="286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紧扣主题、立意明确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（30分）</w:t>
            </w:r>
          </w:p>
        </w:tc>
        <w:tc>
          <w:tcPr>
            <w:tcW w:w="652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记录、展示“五老”参与全面建成小康社会或参与抗疫斗争的奋斗历程、感人事迹和真实感悟，若偏题酌情扣分。</w:t>
            </w:r>
          </w:p>
        </w:tc>
      </w:tr>
      <w:tr>
        <w:tblPrEx>
          <w:tblLayout w:type="fixed"/>
          <w:tblCellMar>
            <w:top w:w="0" w:type="dxa"/>
            <w:left w:w="0" w:type="dxa"/>
            <w:bottom w:w="0" w:type="dxa"/>
            <w:right w:w="0" w:type="dxa"/>
          </w:tblCellMar>
        </w:tblPrEx>
        <w:trPr>
          <w:tblCellSpacing w:w="0" w:type="dxa"/>
        </w:trPr>
        <w:tc>
          <w:tcPr>
            <w:tcW w:w="2864"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内容详实、表述得当</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（20分）</w:t>
            </w:r>
          </w:p>
        </w:tc>
        <w:tc>
          <w:tcPr>
            <w:tcW w:w="65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突出“五老”人物事迹，强调故事性和细节描述，以“五老”的个体经历反映出全面建成小康社会历程中的伟大成就，或疫情防控中彰显的中国共产党领导和中国特色社会主义制度的显著优势。切忌写成“五老”个人简历。根据文章实际情况酌情赋分。</w:t>
            </w:r>
          </w:p>
        </w:tc>
      </w:tr>
      <w:tr>
        <w:tblPrEx>
          <w:tblLayout w:type="fixed"/>
          <w:tblCellMar>
            <w:top w:w="0" w:type="dxa"/>
            <w:left w:w="0" w:type="dxa"/>
            <w:bottom w:w="0" w:type="dxa"/>
            <w:right w:w="0" w:type="dxa"/>
          </w:tblCellMar>
        </w:tblPrEx>
        <w:trPr>
          <w:tblCellSpacing w:w="0" w:type="dxa"/>
        </w:trPr>
        <w:tc>
          <w:tcPr>
            <w:tcW w:w="2864"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语言优美、文笔流畅</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（20分）</w:t>
            </w:r>
          </w:p>
        </w:tc>
        <w:tc>
          <w:tcPr>
            <w:tcW w:w="65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根据文章实际情况酌情赋分。</w:t>
            </w:r>
          </w:p>
        </w:tc>
      </w:tr>
      <w:tr>
        <w:tblPrEx>
          <w:tblLayout w:type="fixed"/>
          <w:tblCellMar>
            <w:top w:w="0" w:type="dxa"/>
            <w:left w:w="0" w:type="dxa"/>
            <w:bottom w:w="0" w:type="dxa"/>
            <w:right w:w="0" w:type="dxa"/>
          </w:tblCellMar>
        </w:tblPrEx>
        <w:trPr>
          <w:tblCellSpacing w:w="0" w:type="dxa"/>
        </w:trPr>
        <w:tc>
          <w:tcPr>
            <w:tcW w:w="2864"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情感真实、表达细腻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（20分）</w:t>
            </w:r>
          </w:p>
        </w:tc>
        <w:tc>
          <w:tcPr>
            <w:tcW w:w="65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根据文章实际情况酌情赋分。</w:t>
            </w:r>
          </w:p>
        </w:tc>
      </w:tr>
      <w:tr>
        <w:tblPrEx>
          <w:shd w:val="clear" w:color="auto" w:fill="FFFFFF"/>
          <w:tblLayout w:type="fixed"/>
          <w:tblCellMar>
            <w:top w:w="0" w:type="dxa"/>
            <w:left w:w="0" w:type="dxa"/>
            <w:bottom w:w="0" w:type="dxa"/>
            <w:right w:w="0" w:type="dxa"/>
          </w:tblCellMar>
        </w:tblPrEx>
        <w:trPr>
          <w:tblCellSpacing w:w="0" w:type="dxa"/>
        </w:trPr>
        <w:tc>
          <w:tcPr>
            <w:tcW w:w="2864"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文体合规、用字规范</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（10分）</w:t>
            </w:r>
          </w:p>
        </w:tc>
        <w:tc>
          <w:tcPr>
            <w:tcW w:w="65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文体为记叙文，字数不超过2000字。文体有误或字数超过2400字即此项为0分，字数在2001-2400字之间或出现不规范用字的酌情扣分。</w:t>
            </w:r>
          </w:p>
        </w:tc>
      </w:tr>
    </w:tbl>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二、微视频评审标准（总分100分）</w:t>
      </w:r>
    </w:p>
    <w:tbl>
      <w:tblPr>
        <w:tblStyle w:val="3"/>
        <w:tblW w:w="9419" w:type="dxa"/>
        <w:tblCellSpacing w:w="0" w:type="dxa"/>
        <w:tblInd w:w="0" w:type="dxa"/>
        <w:shd w:val="clear" w:color="auto" w:fill="FFFFFF"/>
        <w:tblLayout w:type="fixed"/>
        <w:tblCellMar>
          <w:top w:w="0" w:type="dxa"/>
          <w:left w:w="0" w:type="dxa"/>
          <w:bottom w:w="0" w:type="dxa"/>
          <w:right w:w="0" w:type="dxa"/>
        </w:tblCellMar>
      </w:tblPr>
      <w:tblGrid>
        <w:gridCol w:w="2901"/>
        <w:gridCol w:w="6518"/>
      </w:tblGrid>
      <w:tr>
        <w:tblPrEx>
          <w:shd w:val="clear" w:color="auto" w:fill="FFFFFF"/>
          <w:tblLayout w:type="fixed"/>
          <w:tblCellMar>
            <w:top w:w="0" w:type="dxa"/>
            <w:left w:w="0" w:type="dxa"/>
            <w:bottom w:w="0" w:type="dxa"/>
            <w:right w:w="0" w:type="dxa"/>
          </w:tblCellMar>
        </w:tblPrEx>
        <w:trPr>
          <w:trHeight w:val="420" w:hRule="atLeast"/>
          <w:tblCellSpacing w:w="0" w:type="dxa"/>
        </w:trPr>
        <w:tc>
          <w:tcPr>
            <w:tcW w:w="290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r>
              <w:rPr>
                <w:rFonts w:hint="eastAsia" w:ascii="宋体" w:hAnsi="宋体" w:eastAsia="宋体" w:cs="宋体"/>
                <w:b/>
                <w:bCs/>
                <w:color w:val="000000"/>
                <w:kern w:val="0"/>
                <w:sz w:val="28"/>
                <w:szCs w:val="28"/>
              </w:rPr>
              <w:t>主题表达（30分）</w:t>
            </w:r>
          </w:p>
        </w:tc>
        <w:tc>
          <w:tcPr>
            <w:tcW w:w="651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记录、展示“五老”参与全面建成小康社会或参与抗疫斗争的奋斗历程、感人事迹和真实感悟。突出“五老”人物事迹，强调故事性和细节描述，以“五老”的个体经历反映出全面建成小康社会历程中的伟大成就,或疫情防控中彰显的中国共产党领导和中国特色社会主义制度的显著优势。切忌拍摄成“五老”个人简历。根据片子实际情况酌情赋分。</w:t>
            </w:r>
          </w:p>
        </w:tc>
      </w:tr>
      <w:tr>
        <w:tblPrEx>
          <w:shd w:val="clear" w:color="auto" w:fill="FFFFFF"/>
          <w:tblLayout w:type="fixed"/>
          <w:tblCellMar>
            <w:top w:w="0" w:type="dxa"/>
            <w:left w:w="0" w:type="dxa"/>
            <w:bottom w:w="0" w:type="dxa"/>
            <w:right w:w="0" w:type="dxa"/>
          </w:tblCellMar>
        </w:tblPrEx>
        <w:trPr>
          <w:tblCellSpacing w:w="0" w:type="dxa"/>
        </w:trPr>
        <w:tc>
          <w:tcPr>
            <w:tcW w:w="290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r>
              <w:rPr>
                <w:rFonts w:hint="eastAsia" w:ascii="宋体" w:hAnsi="宋体" w:eastAsia="宋体" w:cs="宋体"/>
                <w:b/>
                <w:bCs/>
                <w:color w:val="000000"/>
                <w:kern w:val="0"/>
                <w:sz w:val="28"/>
                <w:szCs w:val="28"/>
              </w:rPr>
              <w:t>结构设置（20分）</w:t>
            </w:r>
          </w:p>
        </w:tc>
        <w:tc>
          <w:tcPr>
            <w:tcW w:w="65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结构明确、逻辑清晰，悬念设置精彩且自然，能够突出主题、吸引观众。根据片子实际情况酌情赋分。</w:t>
            </w:r>
          </w:p>
        </w:tc>
      </w:tr>
      <w:tr>
        <w:tblPrEx>
          <w:shd w:val="clear" w:color="auto" w:fill="FFFFFF"/>
          <w:tblLayout w:type="fixed"/>
          <w:tblCellMar>
            <w:top w:w="0" w:type="dxa"/>
            <w:left w:w="0" w:type="dxa"/>
            <w:bottom w:w="0" w:type="dxa"/>
            <w:right w:w="0" w:type="dxa"/>
          </w:tblCellMar>
        </w:tblPrEx>
        <w:trPr>
          <w:tblCellSpacing w:w="0" w:type="dxa"/>
        </w:trPr>
        <w:tc>
          <w:tcPr>
            <w:tcW w:w="290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r>
              <w:rPr>
                <w:rFonts w:hint="eastAsia" w:ascii="宋体" w:hAnsi="宋体" w:eastAsia="宋体" w:cs="宋体"/>
                <w:b/>
                <w:bCs/>
                <w:color w:val="000000"/>
                <w:kern w:val="0"/>
                <w:sz w:val="28"/>
                <w:szCs w:val="28"/>
              </w:rPr>
              <w:t>细节和节奏（20分）</w:t>
            </w:r>
          </w:p>
        </w:tc>
        <w:tc>
          <w:tcPr>
            <w:tcW w:w="65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调和统一，不突兀；节奏严密且活泼，变化精巧且错落有致；细节运用真实生动，有较强的艺术感染力；画面构图、特效、字幕、片头片尾、暗转等包装处理得当。根据片子实际情况酌情赋分。</w:t>
            </w:r>
          </w:p>
        </w:tc>
      </w:tr>
      <w:tr>
        <w:tblPrEx>
          <w:shd w:val="clear" w:color="auto" w:fill="FFFFFF"/>
          <w:tblLayout w:type="fixed"/>
          <w:tblCellMar>
            <w:top w:w="0" w:type="dxa"/>
            <w:left w:w="0" w:type="dxa"/>
            <w:bottom w:w="0" w:type="dxa"/>
            <w:right w:w="0" w:type="dxa"/>
          </w:tblCellMar>
        </w:tblPrEx>
        <w:trPr>
          <w:trHeight w:val="4155" w:hRule="atLeast"/>
          <w:tblCellSpacing w:w="0" w:type="dxa"/>
        </w:trPr>
        <w:tc>
          <w:tcPr>
            <w:tcW w:w="290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b/>
                <w:bCs/>
                <w:color w:val="000000"/>
                <w:kern w:val="0"/>
                <w:sz w:val="28"/>
                <w:szCs w:val="28"/>
              </w:rPr>
            </w:pPr>
            <w:r>
              <w:rPr>
                <w:rFonts w:hint="eastAsia" w:ascii="宋体" w:hAnsi="宋体" w:eastAsia="宋体" w:cs="宋体"/>
                <w:color w:val="000000"/>
                <w:kern w:val="0"/>
                <w:sz w:val="28"/>
                <w:szCs w:val="28"/>
              </w:rPr>
              <w:t> </w:t>
            </w:r>
            <w:r>
              <w:rPr>
                <w:rFonts w:hint="eastAsia" w:ascii="宋体" w:hAnsi="宋体" w:eastAsia="宋体" w:cs="宋体"/>
                <w:b/>
                <w:bCs/>
                <w:color w:val="000000"/>
                <w:kern w:val="0"/>
                <w:sz w:val="28"/>
                <w:szCs w:val="28"/>
              </w:rPr>
              <w:t>电视语言表</w:t>
            </w:r>
            <w:bookmarkStart w:id="0" w:name="_GoBack"/>
            <w:bookmarkEnd w:id="0"/>
            <w:r>
              <w:rPr>
                <w:rFonts w:hint="eastAsia" w:ascii="宋体" w:hAnsi="宋体" w:eastAsia="宋体" w:cs="宋体"/>
                <w:b/>
                <w:bCs/>
                <w:color w:val="000000"/>
                <w:kern w:val="0"/>
                <w:sz w:val="28"/>
                <w:szCs w:val="28"/>
              </w:rPr>
              <w:t>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（20分）</w:t>
            </w:r>
          </w:p>
        </w:tc>
        <w:tc>
          <w:tcPr>
            <w:tcW w:w="65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画面语言生动且富有特色，能够吸引观众眼球、表达出拍摄主体的内在情绪、心理及表现行为等；解说语言为画面服务，且起到补充和画龙点睛作用；现场语言如采访等，出现时间合适且有对主题阐释等作用，能够很好地渲染影片；字幕语言能够调动观众兴趣，令人印象深刻。电视语言单一，无法讲清事件，无法使观众明白要表达的内容和思想感情的酌情扣分。根据片子实际情况酌情赋分。</w:t>
            </w:r>
          </w:p>
        </w:tc>
      </w:tr>
      <w:tr>
        <w:tblPrEx>
          <w:shd w:val="clear" w:color="auto" w:fill="FFFFFF"/>
          <w:tblLayout w:type="fixed"/>
          <w:tblCellMar>
            <w:top w:w="0" w:type="dxa"/>
            <w:left w:w="0" w:type="dxa"/>
            <w:bottom w:w="0" w:type="dxa"/>
            <w:right w:w="0" w:type="dxa"/>
          </w:tblCellMar>
        </w:tblPrEx>
        <w:trPr>
          <w:trHeight w:val="2745" w:hRule="atLeast"/>
          <w:tblCellSpacing w:w="0" w:type="dxa"/>
        </w:trPr>
        <w:tc>
          <w:tcPr>
            <w:tcW w:w="290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r>
              <w:rPr>
                <w:rFonts w:hint="eastAsia" w:ascii="宋体" w:hAnsi="宋体" w:eastAsia="宋体" w:cs="宋体"/>
                <w:b/>
                <w:bCs/>
                <w:color w:val="000000"/>
                <w:kern w:val="0"/>
                <w:sz w:val="28"/>
                <w:szCs w:val="28"/>
              </w:rPr>
              <w:t>剪接和时长（10分）</w:t>
            </w:r>
          </w:p>
        </w:tc>
        <w:tc>
          <w:tcPr>
            <w:tcW w:w="65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根据影片结构划分篇章结构；镜头衔接自然流畅，转换符合整体节奏，有自己的风格特色，思维逻辑独树一格。如出现跳帧、黑屏等重大技术失误，或时长超过6分钟，该项即为0分；时长在5—6分钟的酌情扣分。根据片子实际情况酌情赋分。</w:t>
            </w:r>
          </w:p>
        </w:tc>
      </w:tr>
    </w:tbl>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br w:type="page"/>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附件3</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color w:val="000000"/>
          <w:kern w:val="0"/>
          <w:sz w:val="40"/>
          <w:szCs w:val="40"/>
        </w:rPr>
      </w:pPr>
      <w:r>
        <w:rPr>
          <w:rFonts w:hint="eastAsia" w:ascii="宋体" w:hAnsi="宋体" w:eastAsia="宋体" w:cs="宋体"/>
          <w:b/>
          <w:bCs/>
          <w:color w:val="000000"/>
          <w:kern w:val="0"/>
          <w:sz w:val="40"/>
          <w:szCs w:val="40"/>
        </w:rPr>
        <w:t xml:space="preserve"> “读懂中国”活动推荐作品信息表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填报单位：                填报人及手机：</w:t>
      </w:r>
    </w:p>
    <w:tbl>
      <w:tblPr>
        <w:tblStyle w:val="3"/>
        <w:tblW w:w="9030" w:type="dxa"/>
        <w:tblCellSpacing w:w="0" w:type="dxa"/>
        <w:tblInd w:w="0" w:type="dxa"/>
        <w:shd w:val="clear" w:color="auto" w:fill="FFFFFF"/>
        <w:tblLayout w:type="fixed"/>
        <w:tblCellMar>
          <w:top w:w="0" w:type="dxa"/>
          <w:left w:w="0" w:type="dxa"/>
          <w:bottom w:w="0" w:type="dxa"/>
          <w:right w:w="0" w:type="dxa"/>
        </w:tblCellMar>
      </w:tblPr>
      <w:tblGrid>
        <w:gridCol w:w="1260"/>
        <w:gridCol w:w="1439"/>
        <w:gridCol w:w="2236"/>
        <w:gridCol w:w="1575"/>
        <w:gridCol w:w="1260"/>
        <w:gridCol w:w="1260"/>
      </w:tblGrid>
      <w:tr>
        <w:tblPrEx>
          <w:shd w:val="clear" w:color="auto" w:fill="FFFFFF"/>
          <w:tblLayout w:type="fixed"/>
          <w:tblCellMar>
            <w:top w:w="0" w:type="dxa"/>
            <w:left w:w="0" w:type="dxa"/>
            <w:bottom w:w="0" w:type="dxa"/>
            <w:right w:w="0" w:type="dxa"/>
          </w:tblCellMar>
        </w:tblPrEx>
        <w:trPr>
          <w:trHeight w:val="930" w:hRule="atLeast"/>
          <w:tblCellSpacing w:w="0" w:type="dxa"/>
        </w:trPr>
        <w:tc>
          <w:tcPr>
            <w:tcW w:w="1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校名</w:t>
            </w:r>
          </w:p>
        </w:tc>
        <w:tc>
          <w:tcPr>
            <w:tcW w:w="143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作品类别</w:t>
            </w:r>
          </w:p>
        </w:tc>
        <w:tc>
          <w:tcPr>
            <w:tcW w:w="223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作品名称</w:t>
            </w:r>
          </w:p>
        </w:tc>
        <w:tc>
          <w:tcPr>
            <w:tcW w:w="15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受访“五老”姓名</w:t>
            </w:r>
          </w:p>
        </w:tc>
        <w:tc>
          <w:tcPr>
            <w:tcW w:w="12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作者</w:t>
            </w:r>
          </w:p>
        </w:tc>
        <w:tc>
          <w:tcPr>
            <w:tcW w:w="12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指导教师</w:t>
            </w:r>
          </w:p>
        </w:tc>
      </w:tr>
      <w:tr>
        <w:tblPrEx>
          <w:shd w:val="clear" w:color="auto" w:fill="FFFFFF"/>
          <w:tblLayout w:type="fixed"/>
          <w:tblCellMar>
            <w:top w:w="0" w:type="dxa"/>
            <w:left w:w="0" w:type="dxa"/>
            <w:bottom w:w="0" w:type="dxa"/>
            <w:right w:w="0" w:type="dxa"/>
          </w:tblCellMar>
        </w:tblPrEx>
        <w:trPr>
          <w:trHeight w:val="915" w:hRule="atLeast"/>
          <w:tblCellSpacing w:w="0" w:type="dxa"/>
        </w:trPr>
        <w:tc>
          <w:tcPr>
            <w:tcW w:w="12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滁州学院</w:t>
            </w:r>
          </w:p>
        </w:tc>
        <w:tc>
          <w:tcPr>
            <w:tcW w:w="1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征文1</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23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r>
      <w:tr>
        <w:tblPrEx>
          <w:shd w:val="clear" w:color="auto" w:fill="FFFFFF"/>
          <w:tblLayout w:type="fixed"/>
          <w:tblCellMar>
            <w:top w:w="0" w:type="dxa"/>
            <w:left w:w="0" w:type="dxa"/>
            <w:bottom w:w="0" w:type="dxa"/>
            <w:right w:w="0" w:type="dxa"/>
          </w:tblCellMar>
        </w:tblPrEx>
        <w:trPr>
          <w:trHeight w:val="930" w:hRule="atLeast"/>
          <w:tblCellSpacing w:w="0" w:type="dxa"/>
        </w:trPr>
        <w:tc>
          <w:tcPr>
            <w:tcW w:w="1260"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征文2</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23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r>
      <w:tr>
        <w:tblPrEx>
          <w:shd w:val="clear" w:color="auto" w:fill="FFFFFF"/>
          <w:tblLayout w:type="fixed"/>
          <w:tblCellMar>
            <w:top w:w="0" w:type="dxa"/>
            <w:left w:w="0" w:type="dxa"/>
            <w:bottom w:w="0" w:type="dxa"/>
            <w:right w:w="0" w:type="dxa"/>
          </w:tblCellMar>
        </w:tblPrEx>
        <w:trPr>
          <w:trHeight w:val="1230" w:hRule="atLeast"/>
          <w:tblCellSpacing w:w="0" w:type="dxa"/>
        </w:trPr>
        <w:tc>
          <w:tcPr>
            <w:tcW w:w="1260"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4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微视频</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23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r>
    </w:tbl>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br w:type="page"/>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附件4：</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“读懂中国”活动开展情况统计表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填报人及手机：</w:t>
      </w:r>
    </w:p>
    <w:tbl>
      <w:tblPr>
        <w:tblStyle w:val="3"/>
        <w:tblW w:w="9030" w:type="dxa"/>
        <w:tblCellSpacing w:w="0" w:type="dxa"/>
        <w:tblInd w:w="0" w:type="dxa"/>
        <w:shd w:val="clear" w:color="auto" w:fill="FFFFFF"/>
        <w:tblLayout w:type="fixed"/>
        <w:tblCellMar>
          <w:top w:w="0" w:type="dxa"/>
          <w:left w:w="0" w:type="dxa"/>
          <w:bottom w:w="0" w:type="dxa"/>
          <w:right w:w="0" w:type="dxa"/>
        </w:tblCellMar>
      </w:tblPr>
      <w:tblGrid>
        <w:gridCol w:w="930"/>
        <w:gridCol w:w="750"/>
        <w:gridCol w:w="840"/>
        <w:gridCol w:w="1155"/>
        <w:gridCol w:w="1050"/>
        <w:gridCol w:w="1470"/>
        <w:gridCol w:w="1260"/>
        <w:gridCol w:w="1575"/>
      </w:tblGrid>
      <w:tr>
        <w:tblPrEx>
          <w:shd w:val="clear" w:color="auto" w:fill="FFFFFF"/>
          <w:tblLayout w:type="fixed"/>
        </w:tblPrEx>
        <w:trPr>
          <w:trHeight w:val="765" w:hRule="atLeast"/>
          <w:tblCellSpacing w:w="0" w:type="dxa"/>
        </w:trPr>
        <w:tc>
          <w:tcPr>
            <w:tcW w:w="9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校名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7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院系数量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开展院系数量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受访“五老”人数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主创团队学生人数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4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受益学生人数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2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征文收集数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5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微视频收集数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shd w:val="clear" w:color="auto" w:fill="FFFFFF"/>
          <w:tblLayout w:type="fixed"/>
          <w:tblCellMar>
            <w:top w:w="0" w:type="dxa"/>
            <w:left w:w="0" w:type="dxa"/>
            <w:bottom w:w="0" w:type="dxa"/>
            <w:right w:w="0" w:type="dxa"/>
          </w:tblCellMar>
        </w:tblPrEx>
        <w:trPr>
          <w:trHeight w:val="2490" w:hRule="atLeast"/>
          <w:tblCellSpacing w:w="0" w:type="dxa"/>
        </w:trPr>
        <w:tc>
          <w:tcPr>
            <w:tcW w:w="9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4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p>
        </w:tc>
      </w:tr>
    </w:tbl>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说明：主创团队学生指实际参与作品创作的学生; 受益学生指通过活动受到教育和影响的学生。</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eastAsia="宋体" w:cs="宋体"/>
          <w:b/>
          <w:color w:val="000000"/>
          <w:sz w:val="28"/>
          <w:szCs w:val="28"/>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47BEA"/>
    <w:rsid w:val="13A04B9D"/>
    <w:rsid w:val="18BC6B63"/>
    <w:rsid w:val="1BB7351A"/>
    <w:rsid w:val="1D5B3575"/>
    <w:rsid w:val="2332678E"/>
    <w:rsid w:val="4FD47BEA"/>
    <w:rsid w:val="5BAA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样式1"/>
    <w:basedOn w:val="1"/>
    <w:uiPriority w:val="0"/>
    <w:pPr>
      <w:spacing w:line="520" w:lineRule="exact"/>
      <w:jc w:val="center"/>
    </w:pPr>
    <w:rPr>
      <w:rFonts w:eastAsia="方正小标宋简体" w:asciiTheme="minorAscii" w:hAnsiTheme="minorAscii"/>
      <w:sz w:val="32"/>
      <w:szCs w:val="22"/>
    </w:rPr>
  </w:style>
  <w:style w:type="paragraph" w:customStyle="1" w:styleId="6">
    <w:name w:val="样式2"/>
    <w:basedOn w:val="1"/>
    <w:qFormat/>
    <w:uiPriority w:val="0"/>
    <w:pPr>
      <w:spacing w:line="560" w:lineRule="exact"/>
    </w:pPr>
    <w:rPr>
      <w:rFonts w:eastAsia="方正小标宋简体" w:asciiTheme="minorAscii" w:hAnsiTheme="minorAscii"/>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2020-09-14T07:45:00Z</dcterms:created>
  <dc:creator>旭旭</dc:creator>
  <cp:lastModifiedBy>旭旭</cp:lastModifiedBy>
  <dcterms:modified xsi:type="dcterms:W3CDTF">2020-09-14T07:49:37Z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